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3A" w:rsidRDefault="00AC7ACA" w:rsidP="00AC7A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ACA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AC7ACA" w:rsidRPr="00AC7ACA" w:rsidRDefault="00AC7ACA" w:rsidP="00AC7ACA">
      <w:pPr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О</w:t>
      </w:r>
      <w:r w:rsidRPr="00AC7ACA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бособена позиция № </w:t>
      </w:r>
      <w:r w:rsidRPr="00AC7A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 “Доставка на качета за пепел”</w:t>
      </w:r>
    </w:p>
    <w:p w:rsidR="00AC7ACA" w:rsidRDefault="00AC7ACA" w:rsidP="00AC7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ACA" w:rsidRPr="00CE4427" w:rsidRDefault="00CE4427" w:rsidP="00CE44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CE4427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ТЕХНИЧЕСКИ ХАРАКТЕРИСТИКИ</w:t>
      </w:r>
    </w:p>
    <w:p w:rsidR="00AC7ACA" w:rsidRDefault="00AC7ACA" w:rsidP="00AC7ACA">
      <w:pPr>
        <w:shd w:val="clear" w:color="auto" w:fill="92D05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  <w:t xml:space="preserve">Контейнер тип - метална кофа/каче </w:t>
      </w:r>
      <w:r w:rsidRPr="00AC7ACA">
        <w:rPr>
          <w:rFonts w:ascii="Times New Roman" w:eastAsia="Times New Roman" w:hAnsi="Times New Roman" w:cs="Times New Roman"/>
          <w:b/>
          <w:sz w:val="24"/>
          <w:szCs w:val="32"/>
          <w:lang w:val="en-US" w:eastAsia="bg-BG"/>
        </w:rPr>
        <w:t xml:space="preserve">– </w:t>
      </w:r>
      <w:r w:rsidRPr="00AC7ACA"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  <w:t>200 бр.</w:t>
      </w:r>
    </w:p>
    <w:p w:rsidR="00AC7ACA" w:rsidRPr="00AC7ACA" w:rsidRDefault="00AC7ACA" w:rsidP="00AC7ACA">
      <w:pPr>
        <w:shd w:val="clear" w:color="auto" w:fill="92D05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</w:pP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Обем</w:t>
      </w: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ab/>
        <w:t>- 110 литра;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Товароносимост - Минимум 50 кг, Максимум 95 кг;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Височина на съда - Минимум 860 мм, Максимум 960 мм</w:t>
      </w:r>
      <w:r w:rsidRPr="00AC7AC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Капак</w:t>
      </w: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ab/>
        <w:t>- 1 бр. отмятане – посока назад, с 1 бр. ръкохватка, разположена срещуположно на пантите в периферията на капака</w:t>
      </w:r>
      <w:r w:rsidRPr="00AC7AC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Посока на отваряне на капака - Отмятане назад;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Конструкция</w:t>
      </w: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ab/>
        <w:t xml:space="preserve">- Дебелина на стоманената ламарина минимум 1,2 мм, максимум 2 мм, горещо поцинкована. Два броя ръкохватки с отстояние 450 мм от дъното на съда, изработени от плътно желязо минимум Ø10 мм. разположени странично; 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Допълнително усилване на дъното - Гумен буфер с дебелина минимум 30 мм. предпазващ дъното от деформации и шум. Да бъде подсилено с метална шина по целият диаметър. Дебелина на шината да е минимум 2,5 мм, ширина минимум 30мм;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Допълнително усилване на корпуса и капака - Оребрено чрез щанцоване тяло и капак за по-голяма здравина и устойчивост;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Покритие - Горещо поцинкована ламарина, устойчива на отпадъци с висока температура (например гореща пепел) основния корпус, капака и всички елементи</w:t>
      </w:r>
      <w:r w:rsidRPr="00AC7AC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Закрепване на капака - Капакът да е закрепен посредством шарнирна връзка, която е монтирана с метални пресовани нитове, които да бъдат допълнително подсигурени от вътрешна страна на съда с допълнителни метални планки;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Обслужване - Съдовете да могат да бъдат обслужвани от автомобили за събиране на отпадъци, отговарящи на изискванията на БДС EN 1501-1 или еквивалент</w:t>
      </w:r>
      <w:r w:rsidRPr="00AC7AC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Начин на захващане на куките за повдигане и снемане - Нитоване с метални пресовани нитове, които да бъдат допълнително подсигурени от вътрешна страна на съда с допълнителни метални планки. Самите куки да бъдат изработени от плътно желязо и метални планки с минимална ширина 340 мм и максимална – не повече от ширината на съда, с отстояние на горния край на планките от дъното на съда минимално 790 мм</w:t>
      </w:r>
      <w:r w:rsidRPr="00AC7AC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Изисквания за качество - Да отговарят на българските и европейски стандарти за съдове за отпадъци, и на изискванията за безопасност и здраве. Да не пропуска течности</w:t>
      </w:r>
      <w:r w:rsidRPr="00AC7ACA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>;</w:t>
      </w:r>
    </w:p>
    <w:p w:rsidR="00AC7ACA" w:rsidRPr="00AC7ACA" w:rsidRDefault="00AC7ACA" w:rsidP="00AC7ACA">
      <w:pPr>
        <w:numPr>
          <w:ilvl w:val="0"/>
          <w:numId w:val="1"/>
        </w:numPr>
        <w:spacing w:after="0" w:line="240" w:lineRule="auto"/>
        <w:ind w:left="709" w:right="-284" w:hanging="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AC7ACA">
        <w:rPr>
          <w:rFonts w:ascii="Times New Roman" w:eastAsia="Times New Roman" w:hAnsi="Times New Roman" w:cs="Times New Roman"/>
          <w:sz w:val="24"/>
          <w:szCs w:val="32"/>
          <w:lang w:eastAsia="bg-BG"/>
        </w:rPr>
        <w:t>Съдовете да са изработени съгласно норми DIN 6629 или еквивалент, БДС 4626-75 или еквивалент, БДС 2587-88 или еквивалент.</w:t>
      </w:r>
    </w:p>
    <w:p w:rsidR="00AC7ACA" w:rsidRDefault="00AC7ACA" w:rsidP="00AC7ACA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B22BB" w:rsidRPr="000B22BB" w:rsidRDefault="000B22BB" w:rsidP="000B22B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0B22B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ПЕРИОД И МЯСТО НА ИЗПЪЛНЕНИЕ НА ПОРЪЧКАТА</w:t>
      </w:r>
    </w:p>
    <w:p w:rsidR="000B22BB" w:rsidRPr="000B22BB" w:rsidRDefault="000B22BB" w:rsidP="000B22BB">
      <w:pPr>
        <w:spacing w:after="0" w:line="240" w:lineRule="auto"/>
        <w:ind w:left="218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</w:p>
    <w:p w:rsidR="00871295" w:rsidRDefault="000B22BB" w:rsidP="000B2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0B22BB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Изпълнението на поръчката стартира от датата на подписване на договора с Изпълнителя, като срокът не може да превишава</w:t>
      </w:r>
      <w:r w:rsidRPr="000B22B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8712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60 календарни дни</w:t>
      </w:r>
      <w:r w:rsidR="0087129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:rsidR="000B22BB" w:rsidRPr="000B22BB" w:rsidRDefault="000B22BB" w:rsidP="000B2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22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изпълнение: сградата на ОП </w:t>
      </w:r>
      <w:r w:rsidRPr="000B22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«Благоустрояване» – гр. Габрово, бул. «Трети март» № 53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B22BB" w:rsidRPr="000B22BB" w:rsidRDefault="000B22BB" w:rsidP="000B2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Съдове за разделно събиране на отпадъци, ще се приемат във окомплектован вид и в готовност за експлоатация.</w:t>
      </w:r>
    </w:p>
    <w:p w:rsidR="000B22BB" w:rsidRPr="000B22BB" w:rsidRDefault="000B22BB" w:rsidP="000B2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B22BB" w:rsidRDefault="000B22BB" w:rsidP="000B22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0B22B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СРОК</w:t>
      </w:r>
    </w:p>
    <w:p w:rsidR="000B22BB" w:rsidRPr="000B22BB" w:rsidRDefault="000B22BB" w:rsidP="000B22BB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0B22BB" w:rsidRPr="000B22BB" w:rsidRDefault="000B22BB" w:rsidP="000B2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2A006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аранционен срок</w:t>
      </w:r>
      <w:r w:rsidR="002A006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A006F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bookmarkStart w:id="0" w:name="_GoBack"/>
      <w:bookmarkEnd w:id="0"/>
      <w:r w:rsidRPr="000B22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не 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– кратък от </w:t>
      </w:r>
      <w:r w:rsidRPr="000B22B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12 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(дванадесет) месеца и не по-дълъг от </w:t>
      </w:r>
      <w:r w:rsidRPr="000B22B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36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B22BB">
        <w:rPr>
          <w:rFonts w:ascii="Times New Roman" w:eastAsia="Calibri" w:hAnsi="Times New Roman" w:cs="Times New Roman"/>
          <w:sz w:val="24"/>
          <w:szCs w:val="24"/>
          <w:lang w:eastAsia="bg-BG" w:bidi="bg-BG"/>
        </w:rPr>
        <w:t xml:space="preserve">(тридесет и шест) 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месеца.</w:t>
      </w:r>
    </w:p>
    <w:p w:rsidR="000B22BB" w:rsidRPr="000B22BB" w:rsidRDefault="00A246D6" w:rsidP="000B22BB">
      <w:pPr>
        <w:spacing w:before="100" w:beforeAutospacing="1" w:after="100" w:afterAutospacing="1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46D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4.</w:t>
      </w:r>
      <w:r w:rsidR="000B22BB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0B22BB"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предаването на съдовете за разделно събиране на отпадъци, избраният за изпълнител участник, ще предостави </w:t>
      </w:r>
      <w:r w:rsidR="000B22BB" w:rsidRPr="000B22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указания за експлоатация и безопасност на български език, сертификати/декларации за съответствие и/или протоколи от лабораторни изследвания за качество, доказващи съответствието на предлаганите от него съдове за разделно събиране на отпадъци с изискванията на Възложителя.</w:t>
      </w:r>
    </w:p>
    <w:p w:rsidR="000B22BB" w:rsidRPr="000B22BB" w:rsidRDefault="000B22BB" w:rsidP="000B22BB">
      <w:pPr>
        <w:spacing w:before="100" w:beforeAutospacing="1" w:after="100" w:afterAutospacing="1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22BB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0B22BB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0B22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Възложителят си запазва правото, ако при приемането на доставката има неотговарящи параметри от Предложението за изпълнение на участника и/или не се предоставя</w:t>
      </w:r>
      <w:r w:rsidR="008712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 необходимите документи по т. </w:t>
      </w:r>
      <w:proofErr w:type="gramStart"/>
      <w:r w:rsidR="00A246D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Pr="000B22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не подпише приемо-предавателен протокол и да не приеме доставката.</w:t>
      </w:r>
      <w:proofErr w:type="gramEnd"/>
    </w:p>
    <w:p w:rsidR="000B22BB" w:rsidRPr="000B22BB" w:rsidRDefault="000B22BB" w:rsidP="00AC7ACA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0B22BB" w:rsidRPr="000B2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27665"/>
    <w:multiLevelType w:val="hybridMultilevel"/>
    <w:tmpl w:val="829E7C2E"/>
    <w:lvl w:ilvl="0" w:tplc="C05C08EC">
      <w:start w:val="1"/>
      <w:numFmt w:val="decimal"/>
      <w:lvlText w:val="%1."/>
      <w:lvlJc w:val="left"/>
      <w:pPr>
        <w:ind w:left="218" w:hanging="360"/>
      </w:p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C93304A"/>
    <w:multiLevelType w:val="multilevel"/>
    <w:tmpl w:val="214E325E"/>
    <w:lvl w:ilvl="0">
      <w:start w:val="2"/>
      <w:numFmt w:val="decimal"/>
      <w:lvlText w:val="%1."/>
      <w:lvlJc w:val="left"/>
      <w:pPr>
        <w:ind w:left="21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78" w:hanging="360"/>
      </w:pPr>
    </w:lvl>
    <w:lvl w:ilvl="2">
      <w:start w:val="1"/>
      <w:numFmt w:val="decimal"/>
      <w:isLgl/>
      <w:lvlText w:val="%1.%2.%3."/>
      <w:lvlJc w:val="left"/>
      <w:pPr>
        <w:ind w:left="1298" w:hanging="720"/>
      </w:pPr>
    </w:lvl>
    <w:lvl w:ilvl="3">
      <w:start w:val="1"/>
      <w:numFmt w:val="decimal"/>
      <w:isLgl/>
      <w:lvlText w:val="%1.%2.%3.%4."/>
      <w:lvlJc w:val="left"/>
      <w:pPr>
        <w:ind w:left="1658" w:hanging="720"/>
      </w:pPr>
    </w:lvl>
    <w:lvl w:ilvl="4">
      <w:start w:val="1"/>
      <w:numFmt w:val="decimal"/>
      <w:isLgl/>
      <w:lvlText w:val="%1.%2.%3.%4.%5."/>
      <w:lvlJc w:val="left"/>
      <w:pPr>
        <w:ind w:left="2378" w:hanging="1080"/>
      </w:pPr>
    </w:lvl>
    <w:lvl w:ilvl="5">
      <w:start w:val="1"/>
      <w:numFmt w:val="decimal"/>
      <w:isLgl/>
      <w:lvlText w:val="%1.%2.%3.%4.%5.%6."/>
      <w:lvlJc w:val="left"/>
      <w:pPr>
        <w:ind w:left="2738" w:hanging="1080"/>
      </w:pPr>
    </w:lvl>
    <w:lvl w:ilvl="6">
      <w:start w:val="1"/>
      <w:numFmt w:val="decimal"/>
      <w:isLgl/>
      <w:lvlText w:val="%1.%2.%3.%4.%5.%6.%7."/>
      <w:lvlJc w:val="left"/>
      <w:pPr>
        <w:ind w:left="3458" w:hanging="1440"/>
      </w:p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</w:lvl>
  </w:abstractNum>
  <w:abstractNum w:abstractNumId="2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9A"/>
    <w:rsid w:val="000B22BB"/>
    <w:rsid w:val="002A006F"/>
    <w:rsid w:val="0033319A"/>
    <w:rsid w:val="00871295"/>
    <w:rsid w:val="00A246D6"/>
    <w:rsid w:val="00AC7ACA"/>
    <w:rsid w:val="00BC103A"/>
    <w:rsid w:val="00C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11</cp:revision>
  <cp:lastPrinted>2019-05-09T10:44:00Z</cp:lastPrinted>
  <dcterms:created xsi:type="dcterms:W3CDTF">2019-04-22T12:43:00Z</dcterms:created>
  <dcterms:modified xsi:type="dcterms:W3CDTF">2019-05-09T10:48:00Z</dcterms:modified>
</cp:coreProperties>
</file>