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5C142D"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5C142D">
        <w:rPr>
          <w:rFonts w:ascii="Times New Roman" w:eastAsia="Times New Roman" w:hAnsi="Times New Roman" w:cs="Times New Roman"/>
          <w:b/>
          <w:color w:val="000000"/>
          <w:sz w:val="24"/>
          <w:szCs w:val="24"/>
          <w:lang w:eastAsia="bg-BG"/>
        </w:rPr>
        <w:t>№</w:t>
      </w:r>
      <w:r w:rsidR="005C142D">
        <w:rPr>
          <w:rFonts w:ascii="Times New Roman" w:eastAsia="Times New Roman" w:hAnsi="Times New Roman" w:cs="Times New Roman"/>
          <w:b/>
          <w:color w:val="000000"/>
          <w:sz w:val="24"/>
          <w:szCs w:val="24"/>
          <w:lang w:val="en-US"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762939" w:rsidRDefault="000F32B2" w:rsidP="000F32B2">
            <w:pPr>
              <w:spacing w:before="120" w:after="120" w:line="240" w:lineRule="auto"/>
              <w:jc w:val="both"/>
              <w:rPr>
                <w:rFonts w:ascii="Times New Roman" w:eastAsia="Calibri" w:hAnsi="Times New Roman" w:cs="Times New Roman"/>
                <w:lang w:eastAsia="bg-BG"/>
              </w:rPr>
            </w:pPr>
            <w:r w:rsidRPr="00762939">
              <w:rPr>
                <w:rFonts w:ascii="Times New Roman" w:eastAsia="Calibri" w:hAnsi="Times New Roman" w:cs="Times New Roman"/>
                <w:lang w:eastAsia="bg-BG"/>
              </w:rPr>
              <w:lastRenderedPageBreak/>
              <w:t>Название или кратко описание на поръчката</w:t>
            </w:r>
            <w:r w:rsidRPr="00762939">
              <w:rPr>
                <w:rFonts w:ascii="Times New Roman" w:eastAsia="Calibri" w:hAnsi="Times New Roman" w:cs="Times New Roman"/>
                <w:vertAlign w:val="superscript"/>
                <w:lang w:eastAsia="bg-BG"/>
              </w:rPr>
              <w:footnoteReference w:id="4"/>
            </w:r>
            <w:r w:rsidRPr="00762939">
              <w:rPr>
                <w:rFonts w:ascii="Times New Roman" w:eastAsia="Calibri" w:hAnsi="Times New Roman" w:cs="Times New Roman"/>
                <w:lang w:eastAsia="bg-BG"/>
              </w:rPr>
              <w:t>:</w:t>
            </w:r>
          </w:p>
        </w:tc>
        <w:tc>
          <w:tcPr>
            <w:tcW w:w="4645" w:type="dxa"/>
            <w:shd w:val="clear" w:color="auto" w:fill="auto"/>
          </w:tcPr>
          <w:p w:rsidR="00DB4DA0" w:rsidRPr="00DB4DA0" w:rsidRDefault="00DB4DA0" w:rsidP="00DB4DA0">
            <w:pPr>
              <w:shd w:val="clear" w:color="auto" w:fill="FFFFFF"/>
              <w:spacing w:after="0"/>
              <w:jc w:val="both"/>
              <w:rPr>
                <w:rFonts w:ascii="Times New Roman" w:eastAsia="Times New Roman" w:hAnsi="Times New Roman" w:cs="Times New Roman"/>
                <w:b/>
                <w:i/>
              </w:rPr>
            </w:pPr>
            <w:r w:rsidRPr="00DB4DA0">
              <w:rPr>
                <w:rFonts w:ascii="Times New Roman" w:eastAsia="Times New Roman" w:hAnsi="Times New Roman" w:cs="Times New Roman"/>
                <w:b/>
                <w:i/>
              </w:rPr>
              <w:t>„Доставка на съдове за разделно събиране на отпадъци по 6  обособени позиции:</w:t>
            </w:r>
          </w:p>
          <w:p w:rsidR="00DB4DA0" w:rsidRPr="00DB4DA0" w:rsidRDefault="00DB4DA0" w:rsidP="00DB4DA0">
            <w:pPr>
              <w:shd w:val="clear" w:color="auto" w:fill="FFFFFF"/>
              <w:spacing w:after="0"/>
              <w:jc w:val="both"/>
              <w:rPr>
                <w:rFonts w:ascii="Times New Roman" w:eastAsia="Times New Roman" w:hAnsi="Times New Roman" w:cs="Times New Roman"/>
                <w:b/>
                <w:i/>
                <w:lang w:val="en-US"/>
              </w:rPr>
            </w:pPr>
            <w:r w:rsidRPr="00DB4DA0">
              <w:rPr>
                <w:rFonts w:ascii="Times New Roman" w:eastAsia="Times New Roman" w:hAnsi="Times New Roman" w:cs="Times New Roman"/>
                <w:b/>
                <w:i/>
              </w:rPr>
              <w:t>Обособена позиция № 1 “Доставка на контейнери тип „Ракла”</w:t>
            </w:r>
            <w:r w:rsidRPr="00DB4DA0">
              <w:rPr>
                <w:rFonts w:ascii="Times New Roman" w:eastAsia="Times New Roman" w:hAnsi="Times New Roman" w:cs="Times New Roman"/>
                <w:b/>
                <w:i/>
                <w:lang w:val="en-US"/>
              </w:rPr>
              <w:t>;</w:t>
            </w:r>
          </w:p>
          <w:p w:rsidR="00DB4DA0" w:rsidRPr="00DB4DA0" w:rsidRDefault="00DB4DA0" w:rsidP="00DB4DA0">
            <w:pPr>
              <w:shd w:val="clear" w:color="auto" w:fill="FFFFFF"/>
              <w:spacing w:after="0"/>
              <w:jc w:val="both"/>
              <w:rPr>
                <w:rFonts w:ascii="Times New Roman" w:eastAsia="Times New Roman" w:hAnsi="Times New Roman" w:cs="Times New Roman"/>
                <w:b/>
                <w:i/>
              </w:rPr>
            </w:pPr>
            <w:r w:rsidRPr="00DB4DA0">
              <w:rPr>
                <w:rFonts w:ascii="Times New Roman" w:eastAsia="Times New Roman" w:hAnsi="Times New Roman" w:cs="Times New Roman"/>
                <w:b/>
                <w:i/>
              </w:rPr>
              <w:t xml:space="preserve"> Обособена позиция № 2 “Доставка на качета за пепел”;</w:t>
            </w:r>
          </w:p>
          <w:p w:rsidR="00DB4DA0" w:rsidRPr="00DB4DA0" w:rsidRDefault="00DB4DA0" w:rsidP="00DB4DA0">
            <w:pPr>
              <w:shd w:val="clear" w:color="auto" w:fill="FFFFFF"/>
              <w:spacing w:after="0"/>
              <w:jc w:val="both"/>
              <w:rPr>
                <w:rFonts w:ascii="Times New Roman" w:eastAsia="Times New Roman" w:hAnsi="Times New Roman" w:cs="Times New Roman"/>
                <w:b/>
                <w:i/>
              </w:rPr>
            </w:pPr>
            <w:r w:rsidRPr="00DB4DA0">
              <w:rPr>
                <w:rFonts w:ascii="Times New Roman" w:eastAsia="Times New Roman" w:hAnsi="Times New Roman" w:cs="Times New Roman"/>
                <w:b/>
                <w:i/>
              </w:rPr>
              <w:t>Обособена позиция№ 3 „Доставка на метални контейнери за събиране на битови и строителни отпадъци“;</w:t>
            </w:r>
          </w:p>
          <w:p w:rsidR="00DB4DA0" w:rsidRPr="00DB4DA0" w:rsidRDefault="00DB4DA0" w:rsidP="00DB4DA0">
            <w:pPr>
              <w:shd w:val="clear" w:color="auto" w:fill="FFFFFF"/>
              <w:spacing w:after="0"/>
              <w:jc w:val="both"/>
              <w:rPr>
                <w:rFonts w:ascii="Times New Roman" w:eastAsia="Times New Roman" w:hAnsi="Times New Roman" w:cs="Times New Roman"/>
                <w:b/>
                <w:i/>
              </w:rPr>
            </w:pPr>
            <w:r w:rsidRPr="00DB4DA0">
              <w:rPr>
                <w:rFonts w:ascii="Times New Roman" w:eastAsia="Times New Roman" w:hAnsi="Times New Roman" w:cs="Times New Roman"/>
                <w:b/>
                <w:i/>
              </w:rPr>
              <w:t>Обособена позиция № 4 „Доставка на метални кофи за детски площадки за разделно събиране на отпадъци с обем от 20 до 50 л.“</w:t>
            </w:r>
          </w:p>
          <w:p w:rsidR="00DB4DA0" w:rsidRPr="00DB4DA0" w:rsidRDefault="00DB4DA0" w:rsidP="00DB4DA0">
            <w:pPr>
              <w:shd w:val="clear" w:color="auto" w:fill="FFFFFF"/>
              <w:spacing w:after="0"/>
              <w:jc w:val="both"/>
              <w:rPr>
                <w:rFonts w:ascii="Times New Roman" w:eastAsia="Times New Roman" w:hAnsi="Times New Roman" w:cs="Times New Roman"/>
                <w:b/>
                <w:i/>
              </w:rPr>
            </w:pPr>
            <w:r w:rsidRPr="00DB4DA0">
              <w:rPr>
                <w:rFonts w:ascii="Times New Roman" w:eastAsia="Times New Roman" w:hAnsi="Times New Roman" w:cs="Times New Roman"/>
                <w:b/>
                <w:i/>
              </w:rPr>
              <w:t>Обособена позиция № 5 „Доставка на метални кошчета за кучешки отпадъци“</w:t>
            </w:r>
          </w:p>
          <w:p w:rsidR="00DB4DA0" w:rsidRPr="00DB4DA0" w:rsidRDefault="00DB4DA0" w:rsidP="00DB4DA0">
            <w:pPr>
              <w:shd w:val="clear" w:color="auto" w:fill="FFFFFF"/>
              <w:spacing w:after="0"/>
              <w:jc w:val="both"/>
              <w:rPr>
                <w:rFonts w:ascii="Times New Roman" w:eastAsia="Times New Roman" w:hAnsi="Times New Roman" w:cs="Times New Roman"/>
                <w:b/>
                <w:i/>
              </w:rPr>
            </w:pPr>
            <w:r w:rsidRPr="00DB4DA0">
              <w:rPr>
                <w:rFonts w:ascii="Times New Roman" w:eastAsia="Times New Roman" w:hAnsi="Times New Roman" w:cs="Times New Roman"/>
                <w:b/>
                <w:i/>
              </w:rPr>
              <w:t>Обособена позиция № 6 „Д</w:t>
            </w:r>
            <w:r w:rsidR="00626365">
              <w:rPr>
                <w:rFonts w:ascii="Times New Roman" w:eastAsia="Times New Roman" w:hAnsi="Times New Roman" w:cs="Times New Roman"/>
                <w:b/>
                <w:i/>
              </w:rPr>
              <w:t>оставка  на мултилифт контейнер</w:t>
            </w:r>
            <w:bookmarkStart w:id="0" w:name="_GoBack"/>
            <w:bookmarkEnd w:id="0"/>
            <w:r w:rsidRPr="00DB4DA0">
              <w:rPr>
                <w:rFonts w:ascii="Times New Roman" w:eastAsia="Times New Roman" w:hAnsi="Times New Roman" w:cs="Times New Roman"/>
                <w:b/>
                <w:i/>
              </w:rPr>
              <w:t xml:space="preserve"> за нуждите на ОП „Регионално депо за неопасни отпадъци- Габрово“ </w:t>
            </w:r>
          </w:p>
          <w:p w:rsidR="000F32B2" w:rsidRPr="00762939" w:rsidRDefault="000F32B2" w:rsidP="000A509F">
            <w:pPr>
              <w:shd w:val="clear" w:color="auto" w:fill="FFFFFF"/>
              <w:spacing w:after="0"/>
              <w:jc w:val="both"/>
              <w:rPr>
                <w:rFonts w:ascii="Times New Roman" w:eastAsia="Times New Roman" w:hAnsi="Times New Roman" w:cs="Times New Roman"/>
                <w:b/>
                <w:lang w:val="en-US"/>
              </w:rPr>
            </w:pPr>
          </w:p>
        </w:tc>
      </w:tr>
      <w:tr w:rsidR="000F32B2" w:rsidRPr="000F32B2" w:rsidTr="00035DDB">
        <w:trPr>
          <w:trHeight w:val="484"/>
        </w:trPr>
        <w:tc>
          <w:tcPr>
            <w:tcW w:w="4644" w:type="dxa"/>
            <w:shd w:val="clear" w:color="auto" w:fill="auto"/>
          </w:tcPr>
          <w:p w:rsidR="000F32B2" w:rsidRPr="00762939" w:rsidRDefault="000F32B2" w:rsidP="000F32B2">
            <w:pPr>
              <w:spacing w:before="120" w:after="120" w:line="240" w:lineRule="auto"/>
              <w:jc w:val="both"/>
              <w:rPr>
                <w:rFonts w:ascii="Times New Roman" w:eastAsia="Calibri" w:hAnsi="Times New Roman" w:cs="Times New Roman"/>
                <w:lang w:eastAsia="bg-BG"/>
              </w:rPr>
            </w:pPr>
            <w:r w:rsidRPr="00762939">
              <w:rPr>
                <w:rFonts w:ascii="Times New Roman" w:eastAsia="Calibri" w:hAnsi="Times New Roman" w:cs="Times New Roman"/>
                <w:lang w:eastAsia="bg-BG"/>
              </w:rPr>
              <w:t>Референтен номер на досието, определен от възлагащия орган или възложителя (</w:t>
            </w:r>
            <w:r w:rsidRPr="00762939">
              <w:rPr>
                <w:rFonts w:ascii="Times New Roman" w:eastAsia="Calibri" w:hAnsi="Times New Roman" w:cs="Times New Roman"/>
                <w:i/>
                <w:lang w:eastAsia="bg-BG"/>
              </w:rPr>
              <w:t>ако е приложимо</w:t>
            </w:r>
            <w:r w:rsidRPr="00762939">
              <w:rPr>
                <w:rFonts w:ascii="Times New Roman" w:eastAsia="Calibri" w:hAnsi="Times New Roman" w:cs="Times New Roman"/>
                <w:lang w:eastAsia="bg-BG"/>
              </w:rPr>
              <w:t>)</w:t>
            </w:r>
            <w:r w:rsidRPr="00762939">
              <w:rPr>
                <w:rFonts w:ascii="Times New Roman" w:eastAsia="Calibri" w:hAnsi="Times New Roman" w:cs="Times New Roman"/>
                <w:vertAlign w:val="superscript"/>
                <w:lang w:eastAsia="bg-BG"/>
              </w:rPr>
              <w:footnoteReference w:id="5"/>
            </w:r>
            <w:r w:rsidRPr="00762939">
              <w:rPr>
                <w:rFonts w:ascii="Times New Roman" w:eastAsia="Calibri" w:hAnsi="Times New Roman" w:cs="Times New Roman"/>
                <w:lang w:eastAsia="bg-BG"/>
              </w:rPr>
              <w:t>:</w:t>
            </w:r>
          </w:p>
        </w:tc>
        <w:tc>
          <w:tcPr>
            <w:tcW w:w="4645" w:type="dxa"/>
            <w:shd w:val="clear" w:color="auto" w:fill="auto"/>
          </w:tcPr>
          <w:p w:rsidR="000F32B2" w:rsidRPr="00762939" w:rsidRDefault="000F32B2" w:rsidP="000F32B2">
            <w:pPr>
              <w:spacing w:before="120" w:after="120" w:line="240" w:lineRule="auto"/>
              <w:jc w:val="both"/>
              <w:rPr>
                <w:rFonts w:ascii="Times New Roman" w:eastAsia="Calibri" w:hAnsi="Times New Roman" w:cs="Times New Roman"/>
                <w:lang w:eastAsia="bg-BG"/>
              </w:rPr>
            </w:pPr>
            <w:r w:rsidRPr="00762939">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w:t>
            </w:r>
            <w:r w:rsidRPr="000F32B2">
              <w:rPr>
                <w:rFonts w:ascii="Times New Roman" w:eastAsia="Calibri" w:hAnsi="Times New Roman" w:cs="Times New Roman"/>
                <w:b/>
                <w:u w:val="single"/>
                <w:lang w:eastAsia="bg-BG"/>
              </w:rPr>
              <w:lastRenderedPageBreak/>
              <w:t xml:space="preserve">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б) моля, посочете другите икономически </w:t>
            </w:r>
            <w:r w:rsidRPr="000F32B2">
              <w:rPr>
                <w:rFonts w:ascii="Times New Roman" w:eastAsia="Calibri" w:hAnsi="Times New Roman" w:cs="Times New Roman"/>
                <w:lang w:eastAsia="bg-BG"/>
              </w:rPr>
              <w:lastRenderedPageBreak/>
              <w:t>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w:t>
      </w:r>
      <w:r w:rsidRPr="000F32B2">
        <w:rPr>
          <w:rFonts w:ascii="Times New Roman" w:eastAsia="Calibri" w:hAnsi="Times New Roman" w:cs="Times New Roman"/>
          <w:i/>
          <w:lang w:eastAsia="bg-BG"/>
        </w:rPr>
        <w:lastRenderedPageBreak/>
        <w:t xml:space="preserve">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lastRenderedPageBreak/>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предмет на производство по </w:t>
            </w:r>
            <w:r w:rsidRPr="000F32B2">
              <w:rPr>
                <w:rFonts w:ascii="Times New Roman" w:eastAsia="Calibri" w:hAnsi="Times New Roman" w:cs="Times New Roman"/>
                <w:b/>
                <w:lang w:eastAsia="bg-BG"/>
              </w:rPr>
              <w:lastRenderedPageBreak/>
              <w:t>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r w:rsidRPr="000F32B2">
              <w:rPr>
                <w:rFonts w:ascii="Times New Roman" w:eastAsia="Calibri" w:hAnsi="Times New Roman" w:cs="Times New Roman"/>
                <w:lang w:eastAsia="bg-BG"/>
              </w:rPr>
              <w:lastRenderedPageBreak/>
              <w:t>[……]</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w:t>
            </w:r>
            <w:r w:rsidRPr="000F32B2">
              <w:rPr>
                <w:rFonts w:ascii="Times New Roman" w:eastAsia="Calibri" w:hAnsi="Times New Roman" w:cs="Times New Roman"/>
                <w:lang w:eastAsia="bg-BG"/>
              </w:rPr>
              <w:lastRenderedPageBreak/>
              <w:t>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FF1" w:rsidRDefault="009B4FF1" w:rsidP="000F32B2">
      <w:pPr>
        <w:spacing w:after="0" w:line="240" w:lineRule="auto"/>
      </w:pPr>
      <w:r>
        <w:separator/>
      </w:r>
    </w:p>
  </w:endnote>
  <w:endnote w:type="continuationSeparator" w:id="0">
    <w:p w:rsidR="009B4FF1" w:rsidRDefault="009B4FF1"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FF1" w:rsidRDefault="009B4FF1" w:rsidP="000F32B2">
      <w:pPr>
        <w:spacing w:after="0" w:line="240" w:lineRule="auto"/>
      </w:pPr>
      <w:r>
        <w:separator/>
      </w:r>
    </w:p>
  </w:footnote>
  <w:footnote w:type="continuationSeparator" w:id="0">
    <w:p w:rsidR="009B4FF1" w:rsidRDefault="009B4FF1"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A509F"/>
    <w:rsid w:val="000B7221"/>
    <w:rsid w:val="000F32B2"/>
    <w:rsid w:val="001200F6"/>
    <w:rsid w:val="00176F54"/>
    <w:rsid w:val="00202450"/>
    <w:rsid w:val="00217252"/>
    <w:rsid w:val="00346B48"/>
    <w:rsid w:val="003C2452"/>
    <w:rsid w:val="003E7375"/>
    <w:rsid w:val="00412CCB"/>
    <w:rsid w:val="004A55A4"/>
    <w:rsid w:val="004C5617"/>
    <w:rsid w:val="005A0050"/>
    <w:rsid w:val="005C142D"/>
    <w:rsid w:val="00626365"/>
    <w:rsid w:val="00627D45"/>
    <w:rsid w:val="00762939"/>
    <w:rsid w:val="00791562"/>
    <w:rsid w:val="007C2D7D"/>
    <w:rsid w:val="007C5E9D"/>
    <w:rsid w:val="0084536E"/>
    <w:rsid w:val="009051D0"/>
    <w:rsid w:val="009064DD"/>
    <w:rsid w:val="009B4FF1"/>
    <w:rsid w:val="00A3225F"/>
    <w:rsid w:val="00AF389C"/>
    <w:rsid w:val="00B07F63"/>
    <w:rsid w:val="00B2449A"/>
    <w:rsid w:val="00B5459A"/>
    <w:rsid w:val="00B675A8"/>
    <w:rsid w:val="00C04EC7"/>
    <w:rsid w:val="00C63052"/>
    <w:rsid w:val="00D55884"/>
    <w:rsid w:val="00DA0EF7"/>
    <w:rsid w:val="00DB4DA0"/>
    <w:rsid w:val="00DE02F2"/>
    <w:rsid w:val="00E45A27"/>
    <w:rsid w:val="00F3347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08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23AAD-5B5E-4391-8EB5-ED1E80A20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4611</Words>
  <Characters>26289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Йоана Иванова</cp:lastModifiedBy>
  <cp:revision>26</cp:revision>
  <cp:lastPrinted>2019-05-14T10:47:00Z</cp:lastPrinted>
  <dcterms:created xsi:type="dcterms:W3CDTF">2016-05-14T06:05:00Z</dcterms:created>
  <dcterms:modified xsi:type="dcterms:W3CDTF">2019-05-14T10:48:00Z</dcterms:modified>
</cp:coreProperties>
</file>